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0105344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jc w:val="center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О нотариальных сделках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В</w:t>
      </w:r>
      <w:r>
        <w:rPr>
          <w:rFonts w:ascii="Tinos" w:hAnsi="Tinos" w:eastAsia="Tinos" w:cs="Tinos"/>
          <w:sz w:val="28"/>
          <w:szCs w:val="28"/>
        </w:rPr>
        <w:t xml:space="preserve"> 1 полугодии 2026 года Управлением Росреестра по Республике Алтай зарегистрировано 2696 прав на основании нотариально удостоверенных сделок. Из них: 1763 в отношении земельных участков, 570 - зданий, 1 - сооружений, 357 -  помещений, 5 - объектов незаверше</w:t>
      </w:r>
      <w:r>
        <w:rPr>
          <w:rFonts w:ascii="Tinos" w:hAnsi="Tinos" w:eastAsia="Tinos" w:cs="Tinos"/>
          <w:sz w:val="28"/>
          <w:szCs w:val="28"/>
        </w:rPr>
        <w:t xml:space="preserve">нного строительства. Об этом сообщила руководитель Управления Лариса Вопиловская в ходе пресс-конференции «Региональный Росреестр: статистика и перспективы»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Н</w:t>
      </w:r>
      <w:r>
        <w:rPr>
          <w:rFonts w:ascii="Tinos" w:hAnsi="Tinos" w:eastAsia="Tinos" w:cs="Tinos"/>
          <w:sz w:val="28"/>
          <w:szCs w:val="28"/>
        </w:rPr>
        <w:t xml:space="preserve">апомним, в соответствии с п. 3 ст. 8.1 Гражданского кодекса РФ в случаях, предусмотренных законом или соглашением сторон, сделка, влекущая возникновение, изменение или прекращение прав на имущество, которые подлежат государственной регистрации, должна быть</w:t>
      </w:r>
      <w:r>
        <w:rPr>
          <w:rFonts w:ascii="Tinos" w:hAnsi="Tinos" w:eastAsia="Tinos" w:cs="Tinos"/>
          <w:sz w:val="28"/>
          <w:szCs w:val="28"/>
        </w:rPr>
        <w:t xml:space="preserve"> нотариально удостоверена.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Если нотариальное удостоверение является обязательным, несоблюдение нотариальной формы сделки влечет ее ничтожность.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840"/>
        <w:ind w:left="0" w:right="0" w:firstLine="680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Сделки, которые требуют обязательного нотариального удостоверения: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доверенности на совершение сделок, требующих нотариальной формы, на подачу заявлений о государственном кадастровом учете и (или) государственной регистрации прав, на распоряжение зарегистрированными в государственных реестрах правами;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доверенности, выдаваемые в порядке передоверия;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завещания;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договоры дарения недвижимого имущества, заключенные между гражданами с 13 января 2025 года;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сделки, заключаемые лицом, которое вследствие физического недостатка, болезни или неграмотности не может расписаться самостоятельно, из-за чего подписантом выступает иное лицо (рукоприкладчик);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договоры ренты (ст. 584 ГК РФ);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сделки, направленные на отчуждение доли или части доли в уставном капитале общества с ограниченной ответственностью;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сделки по отчуждению или договоры ипотеки долей в праве общей собственности на недвижимое имущество;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сделки, связанные с распоряжением недвижимостью на условиях опеки, сделки по отчуждению недвижимого имущества, принадлежащего несовершеннолетнему или ограниченно дееспособному гражданину;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брачные договоры;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договоры поручительства, заключаемые застройщиками в целях обеспечения обязательств перед участниками долевого строительства;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договоры условного депонирования (эскроу), за исключением случаев депонирования безналичных денежных средств и (или) бездокументарных ценных бумаг (абз. 3 п. 1 ст. 926.1 ГК РФ);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  <w:t xml:space="preserve">иные сделки, в отношении которых законом предусмотрена соответствующая форма.</w:t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  <w:r>
        <w:rPr>
          <w:rFonts w:ascii="Times New Roman" w:hAnsi="Times New Roman" w:cs="Times New Roman"/>
          <w:b w:val="0"/>
          <w:bCs/>
          <w:i w:val="0"/>
          <w:caps w:val="0"/>
          <w:smallCaps w:val="0"/>
          <w:color w:val="292c2f"/>
          <w:spacing w:val="0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«Нотариальное удостоверение сделок с недвижимостью не только обеспечивает максимальную юридическую безопасность, снижает риск оспаривания сделок в суде, но и ускоряет процесс государственной ре</w:t>
      </w:r>
      <w:r>
        <w:rPr>
          <w:rFonts w:ascii="Tinos" w:hAnsi="Tinos" w:eastAsia="Tinos" w:cs="Tinos"/>
          <w:sz w:val="28"/>
          <w:szCs w:val="28"/>
        </w:rPr>
        <w:t xml:space="preserve">гистрации - она проходит за один день, документы подаются в электронном виде», – отметила Лариса Вопиловская.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0" w:hanging="283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18" w:hanging="283"/>
        <w:tabs>
          <w:tab w:val="num" w:pos="1418" w:leader="none"/>
        </w:tabs>
      </w:pPr>
      <w:rPr>
        <w:rFonts w:hint="default" w:ascii="Symbol" w:hAnsi="Symbol" w:cs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27" w:hanging="283"/>
        <w:tabs>
          <w:tab w:val="num" w:pos="2127" w:leader="none"/>
        </w:tabs>
      </w:pPr>
      <w:rPr>
        <w:rFonts w:hint="default" w:ascii="Symbol" w:hAnsi="Symbol" w:cs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36" w:hanging="283"/>
        <w:tabs>
          <w:tab w:val="num" w:pos="2836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545" w:hanging="283"/>
        <w:tabs>
          <w:tab w:val="num" w:pos="3545" w:leader="none"/>
        </w:tabs>
      </w:pPr>
      <w:rPr>
        <w:rFonts w:hint="default" w:ascii="Symbol" w:hAnsi="Symbol" w:cs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254" w:hanging="283"/>
        <w:tabs>
          <w:tab w:val="num" w:pos="4254" w:leader="none"/>
        </w:tabs>
      </w:pPr>
      <w:rPr>
        <w:rFonts w:hint="default" w:ascii="Symbol" w:hAnsi="Symbol" w:cs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4963" w:hanging="283"/>
        <w:tabs>
          <w:tab w:val="num" w:pos="4963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672" w:hanging="283"/>
        <w:tabs>
          <w:tab w:val="num" w:pos="5672" w:leader="none"/>
        </w:tabs>
      </w:pPr>
      <w:rPr>
        <w:rFonts w:hint="default" w:ascii="Symbol" w:hAnsi="Symbol" w:cs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381" w:hanging="283"/>
        <w:tabs>
          <w:tab w:val="num" w:pos="6381" w:leader="none"/>
        </w:tabs>
      </w:pPr>
      <w:rPr>
        <w:rFonts w:hint="default"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4"/>
    <w:next w:val="834"/>
    <w:link w:val="65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9">
    <w:name w:val="Heading 1 Char"/>
    <w:link w:val="65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0">
    <w:name w:val="Heading 2"/>
    <w:basedOn w:val="834"/>
    <w:next w:val="834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1">
    <w:name w:val="Heading 2 Char"/>
    <w:link w:val="660"/>
    <w:uiPriority w:val="9"/>
    <w:rPr>
      <w:rFonts w:ascii="Liberation Sans" w:hAnsi="Liberation Sans" w:eastAsia="Liberation Sans" w:cs="Liberation Sans"/>
      <w:sz w:val="34"/>
    </w:rPr>
  </w:style>
  <w:style w:type="paragraph" w:styleId="662">
    <w:name w:val="Heading 3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3">
    <w:name w:val="Heading 3 Char"/>
    <w:link w:val="66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link w:val="688"/>
    <w:uiPriority w:val="35"/>
    <w:rPr>
      <w:b/>
      <w:bCs/>
      <w:color w:val="4f81bd" w:themeColor="accent1"/>
      <w:sz w:val="18"/>
      <w:szCs w:val="18"/>
    </w:rPr>
  </w:style>
  <w:style w:type="table" w:styleId="690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No Spacing"/>
    <w:basedOn w:val="834"/>
    <w:uiPriority w:val="1"/>
    <w:qFormat/>
    <w:pPr>
      <w:spacing w:after="0" w:line="240" w:lineRule="auto"/>
    </w:pPr>
  </w:style>
  <w:style w:type="paragraph" w:styleId="838">
    <w:name w:val="List Paragraph"/>
    <w:basedOn w:val="834"/>
    <w:uiPriority w:val="34"/>
    <w:qFormat/>
    <w:pPr>
      <w:contextualSpacing/>
      <w:ind w:left="720"/>
    </w:pPr>
  </w:style>
  <w:style w:type="character" w:styleId="839" w:default="1">
    <w:name w:val="Default Paragraph Font"/>
    <w:uiPriority w:val="1"/>
    <w:semiHidden/>
    <w:unhideWhenUsed/>
  </w:style>
  <w:style w:type="paragraph" w:styleId="840" w:customStyle="1">
    <w:name w:val="Body Tex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2</cp:revision>
  <dcterms:modified xsi:type="dcterms:W3CDTF">2026-09-14T02:08:30Z</dcterms:modified>
</cp:coreProperties>
</file>